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B5" w:rsidRPr="00BE19EC" w:rsidRDefault="006D6DB5" w:rsidP="006D6DB5">
      <w:pPr>
        <w:rPr>
          <w:rFonts w:asciiTheme="majorHAnsi" w:hAnsiTheme="majorHAnsi" w:cs="Arial"/>
          <w:b/>
          <w:color w:val="0000FF"/>
          <w:sz w:val="22"/>
          <w:szCs w:val="22"/>
        </w:rPr>
      </w:pPr>
      <w:r>
        <w:rPr>
          <w:rFonts w:asciiTheme="majorHAnsi" w:hAnsiTheme="majorHAnsi" w:cs="Arial"/>
          <w:b/>
          <w:noProof/>
          <w:color w:val="0000FF"/>
          <w:sz w:val="22"/>
          <w:szCs w:val="22"/>
          <w:lang w:eastAsia="en-GB"/>
        </w:rPr>
        <w:drawing>
          <wp:inline distT="0" distB="0" distL="0" distR="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awton Logo Nov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roofErr w:type="spellStart"/>
      <w:r>
        <w:rPr>
          <w:rFonts w:asciiTheme="majorHAnsi" w:hAnsiTheme="majorHAnsi" w:cs="Arial"/>
          <w:b/>
          <w:color w:val="0000FF"/>
          <w:sz w:val="22"/>
          <w:szCs w:val="22"/>
        </w:rPr>
        <w:t>Blackawton</w:t>
      </w:r>
      <w:proofErr w:type="spellEnd"/>
      <w:r>
        <w:rPr>
          <w:rFonts w:asciiTheme="majorHAnsi" w:hAnsiTheme="majorHAnsi" w:cs="Arial"/>
          <w:b/>
          <w:color w:val="0000FF"/>
          <w:sz w:val="22"/>
          <w:szCs w:val="22"/>
        </w:rPr>
        <w:t xml:space="preserve"> Primary </w:t>
      </w:r>
      <w:bookmarkStart w:id="0" w:name="_GoBack"/>
      <w:bookmarkEnd w:id="0"/>
      <w:r w:rsidRPr="00BE19EC">
        <w:rPr>
          <w:rFonts w:asciiTheme="majorHAnsi" w:hAnsiTheme="majorHAnsi" w:cs="Arial"/>
          <w:b/>
          <w:color w:val="0000FF"/>
          <w:sz w:val="22"/>
          <w:szCs w:val="22"/>
        </w:rPr>
        <w:t>School expectations and behaviour code (pupils and staff)</w:t>
      </w:r>
    </w:p>
    <w:p w:rsidR="006D6DB5" w:rsidRPr="00BE19EC" w:rsidRDefault="006D6DB5" w:rsidP="006D6DB5">
      <w:pPr>
        <w:rPr>
          <w:rFonts w:asciiTheme="majorHAnsi" w:hAnsiTheme="majorHAnsi" w:cs="Arial"/>
          <w:b/>
          <w:sz w:val="22"/>
          <w:szCs w:val="22"/>
        </w:rPr>
      </w:pPr>
      <w:r w:rsidRPr="00345D6C">
        <w:rPr>
          <w:rFonts w:asciiTheme="majorHAnsi" w:hAnsiTheme="majorHAnsi"/>
          <w:noProof/>
          <w:sz w:val="22"/>
          <w:szCs w:val="22"/>
          <w:lang w:eastAsia="en-GB"/>
        </w:rPr>
        <mc:AlternateContent>
          <mc:Choice Requires="wps">
            <w:drawing>
              <wp:anchor distT="0" distB="0" distL="114300" distR="114300" simplePos="0" relativeHeight="251659264" behindDoc="0" locked="0" layoutInCell="1" allowOverlap="1" wp14:anchorId="77AB1A5E" wp14:editId="7A1F8640">
                <wp:simplePos x="0" y="0"/>
                <wp:positionH relativeFrom="margin">
                  <wp:posOffset>-114300</wp:posOffset>
                </wp:positionH>
                <wp:positionV relativeFrom="paragraph">
                  <wp:posOffset>57785</wp:posOffset>
                </wp:positionV>
                <wp:extent cx="66294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6629400" cy="0"/>
                        </a:xfrm>
                        <a:prstGeom prst="line">
                          <a:avLst/>
                        </a:prstGeom>
                        <a:ln>
                          <a:solidFill>
                            <a:srgbClr val="EA772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9DC7E3" id="Straight Connector 1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9pt,4.55pt" to="51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" strokecolor="#ea7720" strokeweight="1pt">
                <v:stroke joinstyle="miter"/>
                <w10:wrap anchorx="margin"/>
              </v:line>
            </w:pict>
          </mc:Fallback>
        </mc:AlternateContent>
      </w:r>
    </w:p>
    <w:p w:rsidR="006D6DB5" w:rsidRPr="00DF3922" w:rsidRDefault="006D6DB5" w:rsidP="006D6DB5">
      <w:pPr>
        <w:rPr>
          <w:rFonts w:asciiTheme="majorHAnsi" w:hAnsiTheme="majorHAnsi" w:cs="Arial"/>
          <w:b/>
          <w:sz w:val="22"/>
          <w:szCs w:val="22"/>
        </w:rPr>
      </w:pPr>
      <w:r w:rsidRPr="00DF3922">
        <w:rPr>
          <w:rFonts w:asciiTheme="majorHAnsi" w:hAnsiTheme="majorHAnsi" w:cs="Arial"/>
          <w:b/>
          <w:sz w:val="22"/>
          <w:szCs w:val="22"/>
        </w:rPr>
        <w:t>Aim</w:t>
      </w:r>
    </w:p>
    <w:p w:rsidR="006D6DB5" w:rsidRPr="00DF3922" w:rsidRDefault="006D6DB5" w:rsidP="006D6DB5">
      <w:pPr>
        <w:rPr>
          <w:rFonts w:asciiTheme="majorHAnsi" w:hAnsiTheme="majorHAnsi" w:cs="Arial"/>
          <w:sz w:val="22"/>
          <w:szCs w:val="22"/>
        </w:rPr>
      </w:pPr>
      <w:r w:rsidRPr="00DF3922">
        <w:rPr>
          <w:rFonts w:asciiTheme="majorHAnsi" w:hAnsiTheme="majorHAnsi" w:cs="Arial"/>
          <w:sz w:val="22"/>
          <w:szCs w:val="22"/>
        </w:rPr>
        <w:t>The ‘</w:t>
      </w:r>
      <w:proofErr w:type="spellStart"/>
      <w:r w:rsidRPr="00DF3922">
        <w:rPr>
          <w:rFonts w:asciiTheme="majorHAnsi" w:hAnsiTheme="majorHAnsi" w:cs="Arial"/>
          <w:sz w:val="22"/>
          <w:szCs w:val="22"/>
        </w:rPr>
        <w:t>Blackawton</w:t>
      </w:r>
      <w:proofErr w:type="spellEnd"/>
      <w:r w:rsidRPr="00DF3922">
        <w:rPr>
          <w:rFonts w:asciiTheme="majorHAnsi" w:hAnsiTheme="majorHAnsi" w:cs="Arial"/>
          <w:sz w:val="22"/>
          <w:szCs w:val="22"/>
        </w:rPr>
        <w:t xml:space="preserve"> Way’ underpins our Behaviour Policy. It is our aim that all children will be active and independent learners and thrive within an environment that both supports and challenges every child to succeed. We have high expectations of the pupils and ourselves. </w:t>
      </w:r>
      <w:r>
        <w:rPr>
          <w:rFonts w:asciiTheme="majorHAnsi" w:hAnsiTheme="majorHAnsi" w:cs="Arial"/>
          <w:sz w:val="22"/>
          <w:szCs w:val="22"/>
        </w:rPr>
        <w:t>W</w:t>
      </w:r>
      <w:r w:rsidRPr="00DF3922">
        <w:rPr>
          <w:rFonts w:asciiTheme="majorHAnsi" w:hAnsiTheme="majorHAnsi" w:cs="Arial"/>
          <w:sz w:val="22"/>
          <w:szCs w:val="22"/>
        </w:rPr>
        <w:t xml:space="preserve">e want every child and their parents and carers to know that we care. We show this through the school environment, our expectations, our marking and feedback and the way we communicate with the children. </w:t>
      </w:r>
    </w:p>
    <w:p w:rsidR="006D6DB5" w:rsidRPr="00DF3922" w:rsidRDefault="006D6DB5" w:rsidP="006D6DB5">
      <w:pPr>
        <w:rPr>
          <w:rFonts w:asciiTheme="majorHAnsi" w:hAnsiTheme="majorHAnsi" w:cs="Arial"/>
          <w:sz w:val="22"/>
          <w:szCs w:val="22"/>
        </w:rPr>
      </w:pPr>
    </w:p>
    <w:p w:rsidR="006D6DB5" w:rsidRPr="00DF3922" w:rsidRDefault="006D6DB5" w:rsidP="006D6DB5">
      <w:pPr>
        <w:rPr>
          <w:rFonts w:asciiTheme="majorHAnsi" w:hAnsiTheme="majorHAnsi" w:cs="Arial"/>
          <w:b/>
          <w:sz w:val="22"/>
          <w:szCs w:val="22"/>
        </w:rPr>
      </w:pPr>
      <w:r w:rsidRPr="00DF3922">
        <w:rPr>
          <w:rFonts w:asciiTheme="majorHAnsi" w:hAnsiTheme="majorHAnsi" w:cs="Arial"/>
          <w:b/>
          <w:sz w:val="22"/>
          <w:szCs w:val="22"/>
        </w:rPr>
        <w:t>Behaviour Management and Behaviour Leadership</w:t>
      </w:r>
    </w:p>
    <w:p w:rsidR="006D6DB5" w:rsidRPr="00DF3922" w:rsidRDefault="006D6DB5" w:rsidP="006D6DB5">
      <w:pPr>
        <w:rPr>
          <w:rFonts w:asciiTheme="majorHAnsi" w:hAnsiTheme="majorHAnsi" w:cs="Arial"/>
          <w:sz w:val="22"/>
          <w:szCs w:val="22"/>
        </w:rPr>
      </w:pPr>
      <w:r w:rsidRPr="00DF3922">
        <w:rPr>
          <w:rFonts w:asciiTheme="majorHAnsi" w:hAnsiTheme="majorHAnsi" w:cs="Arial"/>
          <w:sz w:val="22"/>
          <w:szCs w:val="22"/>
        </w:rPr>
        <w:t xml:space="preserve">Behaviour management is essential for creating a safe, respectful environment for learning where children can succeed. This is a reflective process that is based on high expectations and clear consistent actions. </w:t>
      </w:r>
    </w:p>
    <w:p w:rsidR="006D6DB5" w:rsidRPr="00DF3922" w:rsidRDefault="006D6DB5" w:rsidP="006D6DB5">
      <w:pPr>
        <w:rPr>
          <w:rFonts w:asciiTheme="majorHAnsi" w:hAnsiTheme="majorHAnsi" w:cs="Arial"/>
          <w:sz w:val="22"/>
          <w:szCs w:val="22"/>
        </w:rPr>
      </w:pPr>
    </w:p>
    <w:p w:rsidR="006D6DB5" w:rsidRPr="00DF3922" w:rsidRDefault="006D6DB5" w:rsidP="006D6DB5">
      <w:pPr>
        <w:rPr>
          <w:rFonts w:asciiTheme="majorHAnsi" w:hAnsiTheme="majorHAnsi" w:cs="Arial"/>
          <w:sz w:val="22"/>
          <w:szCs w:val="22"/>
        </w:rPr>
      </w:pPr>
      <w:r w:rsidRPr="00DF3922">
        <w:rPr>
          <w:rFonts w:asciiTheme="majorHAnsi" w:hAnsiTheme="majorHAnsi" w:cs="Arial"/>
          <w:sz w:val="22"/>
          <w:szCs w:val="22"/>
        </w:rPr>
        <w:t>Behaviour Leadership recognises that behaviour management is not merely a process of following a set of rewards or sanctions. It is about treating each individual fairly recognising their basic needs and in doing so modelling expected behaviour. This is done with the aim of creating an equivalent culture of care and justice among children.</w:t>
      </w:r>
    </w:p>
    <w:p w:rsidR="006D6DB5" w:rsidRDefault="006D6DB5" w:rsidP="006D6DB5">
      <w:pPr>
        <w:rPr>
          <w:rFonts w:asciiTheme="majorHAnsi" w:hAnsiTheme="majorHAnsi" w:cs="Arial"/>
          <w:sz w:val="22"/>
          <w:szCs w:val="22"/>
        </w:rPr>
      </w:pPr>
    </w:p>
    <w:p w:rsidR="006D6DB5" w:rsidRPr="00DF3922" w:rsidRDefault="006D6DB5" w:rsidP="006D6DB5">
      <w:pPr>
        <w:rPr>
          <w:rFonts w:asciiTheme="majorHAnsi" w:hAnsiTheme="majorHAnsi" w:cs="Arial"/>
          <w:b/>
          <w:sz w:val="22"/>
          <w:szCs w:val="22"/>
        </w:rPr>
      </w:pPr>
      <w:r w:rsidRPr="00DF3922">
        <w:rPr>
          <w:rFonts w:asciiTheme="majorHAnsi" w:hAnsiTheme="majorHAnsi" w:cs="Arial"/>
          <w:b/>
          <w:sz w:val="22"/>
          <w:szCs w:val="22"/>
        </w:rPr>
        <w:t xml:space="preserve">Rewards </w:t>
      </w:r>
    </w:p>
    <w:p w:rsidR="006D6DB5" w:rsidRPr="00DF3922" w:rsidRDefault="006D6DB5" w:rsidP="006D6DB5">
      <w:pPr>
        <w:rPr>
          <w:rFonts w:asciiTheme="majorHAnsi" w:hAnsiTheme="majorHAnsi" w:cs="Arial"/>
          <w:sz w:val="22"/>
          <w:szCs w:val="22"/>
        </w:rPr>
      </w:pPr>
      <w:r w:rsidRPr="00DF3922">
        <w:rPr>
          <w:rFonts w:asciiTheme="majorHAnsi" w:hAnsiTheme="majorHAnsi" w:cs="Arial"/>
          <w:sz w:val="22"/>
          <w:szCs w:val="22"/>
        </w:rPr>
        <w:t xml:space="preserve">These are responsive to the behaviour and are flexible within each class. Rewards are given in line with our high expectations for behaviours and for learning. </w:t>
      </w:r>
    </w:p>
    <w:p w:rsidR="006D6DB5" w:rsidRPr="00DF3922" w:rsidRDefault="006D6DB5" w:rsidP="006D6DB5">
      <w:pPr>
        <w:rPr>
          <w:rFonts w:asciiTheme="majorHAnsi" w:hAnsiTheme="majorHAnsi" w:cs="Arial"/>
          <w:sz w:val="22"/>
          <w:szCs w:val="22"/>
        </w:rPr>
      </w:pPr>
    </w:p>
    <w:p w:rsidR="006D6DB5" w:rsidRPr="00DF3922" w:rsidRDefault="006D6DB5" w:rsidP="006D6DB5">
      <w:pPr>
        <w:rPr>
          <w:rFonts w:asciiTheme="majorHAnsi" w:hAnsiTheme="majorHAnsi" w:cs="Arial"/>
          <w:sz w:val="22"/>
          <w:szCs w:val="22"/>
        </w:rPr>
      </w:pPr>
      <w:r w:rsidRPr="00DF3922">
        <w:rPr>
          <w:rFonts w:asciiTheme="majorHAnsi" w:hAnsiTheme="majorHAnsi" w:cs="Arial"/>
          <w:sz w:val="22"/>
          <w:szCs w:val="22"/>
        </w:rPr>
        <w:t>We celebrate, as a community, children’s responses to the ‘</w:t>
      </w:r>
      <w:proofErr w:type="spellStart"/>
      <w:r w:rsidRPr="00DF3922">
        <w:rPr>
          <w:rFonts w:asciiTheme="majorHAnsi" w:hAnsiTheme="majorHAnsi" w:cs="Arial"/>
          <w:sz w:val="22"/>
          <w:szCs w:val="22"/>
        </w:rPr>
        <w:t>Blackawton</w:t>
      </w:r>
      <w:proofErr w:type="spellEnd"/>
      <w:r w:rsidRPr="00DF3922">
        <w:rPr>
          <w:rFonts w:asciiTheme="majorHAnsi" w:hAnsiTheme="majorHAnsi" w:cs="Arial"/>
          <w:sz w:val="22"/>
          <w:szCs w:val="22"/>
        </w:rPr>
        <w:t xml:space="preserve"> Way’ – coloured wristbands and certificates reward achievement of one of the 9 principles of the ‘</w:t>
      </w:r>
      <w:proofErr w:type="spellStart"/>
      <w:r w:rsidRPr="00DF3922">
        <w:rPr>
          <w:rFonts w:asciiTheme="majorHAnsi" w:hAnsiTheme="majorHAnsi" w:cs="Arial"/>
          <w:sz w:val="22"/>
          <w:szCs w:val="22"/>
        </w:rPr>
        <w:t>Blackawton</w:t>
      </w:r>
      <w:proofErr w:type="spellEnd"/>
      <w:r w:rsidRPr="00DF3922">
        <w:rPr>
          <w:rFonts w:asciiTheme="majorHAnsi" w:hAnsiTheme="majorHAnsi" w:cs="Arial"/>
          <w:sz w:val="22"/>
          <w:szCs w:val="22"/>
        </w:rPr>
        <w:t xml:space="preserve"> Way’. </w:t>
      </w:r>
    </w:p>
    <w:p w:rsidR="006D6DB5" w:rsidRPr="00DF3922" w:rsidRDefault="006D6DB5" w:rsidP="006D6DB5">
      <w:pPr>
        <w:rPr>
          <w:rFonts w:asciiTheme="majorHAnsi" w:hAnsiTheme="majorHAnsi" w:cs="Arial"/>
          <w:sz w:val="22"/>
          <w:szCs w:val="22"/>
        </w:rPr>
      </w:pPr>
    </w:p>
    <w:p w:rsidR="006D6DB5" w:rsidRPr="00DF3922" w:rsidRDefault="006D6DB5" w:rsidP="006D6DB5">
      <w:pPr>
        <w:rPr>
          <w:rFonts w:asciiTheme="majorHAnsi" w:hAnsiTheme="majorHAnsi" w:cs="Arial"/>
          <w:sz w:val="22"/>
          <w:szCs w:val="22"/>
        </w:rPr>
      </w:pPr>
      <w:r w:rsidRPr="00DF3922">
        <w:rPr>
          <w:rFonts w:asciiTheme="majorHAnsi" w:hAnsiTheme="majorHAnsi" w:cs="Arial"/>
          <w:sz w:val="22"/>
          <w:szCs w:val="22"/>
        </w:rPr>
        <w:t>In line with our Teaching and Learning Policy, effort and application is praised rather than outcomes.</w:t>
      </w:r>
    </w:p>
    <w:p w:rsidR="006D6DB5" w:rsidRPr="00DF3922" w:rsidRDefault="006D6DB5" w:rsidP="006D6DB5">
      <w:pPr>
        <w:rPr>
          <w:rFonts w:asciiTheme="majorHAnsi" w:hAnsiTheme="majorHAnsi" w:cs="Arial"/>
          <w:sz w:val="22"/>
          <w:szCs w:val="22"/>
        </w:rPr>
      </w:pPr>
    </w:p>
    <w:p w:rsidR="006D6DB5" w:rsidRPr="00DF3922" w:rsidRDefault="006D6DB5" w:rsidP="006D6DB5">
      <w:pPr>
        <w:rPr>
          <w:rFonts w:asciiTheme="majorHAnsi" w:hAnsiTheme="majorHAnsi" w:cs="Arial"/>
          <w:b/>
          <w:sz w:val="22"/>
          <w:szCs w:val="22"/>
        </w:rPr>
      </w:pPr>
      <w:r w:rsidRPr="00DF3922">
        <w:rPr>
          <w:rFonts w:asciiTheme="majorHAnsi" w:hAnsiTheme="majorHAnsi" w:cs="Arial"/>
          <w:b/>
          <w:sz w:val="22"/>
          <w:szCs w:val="22"/>
        </w:rPr>
        <w:t xml:space="preserve">Consequences </w:t>
      </w:r>
    </w:p>
    <w:p w:rsidR="006D6DB5" w:rsidRPr="00DF3922" w:rsidRDefault="006D6DB5" w:rsidP="006D6DB5">
      <w:pPr>
        <w:rPr>
          <w:rFonts w:asciiTheme="majorHAnsi" w:hAnsiTheme="majorHAnsi" w:cs="Arial"/>
          <w:sz w:val="22"/>
          <w:szCs w:val="22"/>
        </w:rPr>
      </w:pPr>
      <w:r w:rsidRPr="00DF3922">
        <w:rPr>
          <w:rFonts w:asciiTheme="majorHAnsi" w:hAnsiTheme="majorHAnsi" w:cs="Arial"/>
          <w:sz w:val="22"/>
          <w:szCs w:val="22"/>
        </w:rPr>
        <w:t>As a community, we have agreed the following consequences when positive choices are not made. In all circumstances, it will be made clear why the current behaviour is not in line with the ‘</w:t>
      </w:r>
      <w:proofErr w:type="spellStart"/>
      <w:r w:rsidRPr="00DF3922">
        <w:rPr>
          <w:rFonts w:asciiTheme="majorHAnsi" w:hAnsiTheme="majorHAnsi" w:cs="Arial"/>
          <w:sz w:val="22"/>
          <w:szCs w:val="22"/>
        </w:rPr>
        <w:t>Blackawton</w:t>
      </w:r>
      <w:proofErr w:type="spellEnd"/>
      <w:r w:rsidRPr="00DF3922">
        <w:rPr>
          <w:rFonts w:asciiTheme="majorHAnsi" w:hAnsiTheme="majorHAnsi" w:cs="Arial"/>
          <w:sz w:val="22"/>
          <w:szCs w:val="22"/>
        </w:rPr>
        <w:t xml:space="preserve"> Way’. </w:t>
      </w:r>
    </w:p>
    <w:p w:rsidR="006D6DB5" w:rsidRPr="00DF3922" w:rsidRDefault="006D6DB5" w:rsidP="006D6DB5">
      <w:pPr>
        <w:rPr>
          <w:rFonts w:asciiTheme="majorHAnsi" w:hAnsiTheme="majorHAnsi" w:cs="Arial"/>
          <w:sz w:val="22"/>
          <w:szCs w:val="22"/>
        </w:rPr>
      </w:pPr>
    </w:p>
    <w:p w:rsidR="006D6DB5" w:rsidRPr="00DF3922" w:rsidRDefault="006D6DB5" w:rsidP="006D6DB5">
      <w:pPr>
        <w:numPr>
          <w:ilvl w:val="0"/>
          <w:numId w:val="1"/>
        </w:numPr>
        <w:rPr>
          <w:rFonts w:asciiTheme="majorHAnsi" w:hAnsiTheme="majorHAnsi" w:cs="Arial"/>
          <w:sz w:val="22"/>
          <w:szCs w:val="22"/>
        </w:rPr>
      </w:pPr>
      <w:r w:rsidRPr="00DF3922">
        <w:rPr>
          <w:rFonts w:asciiTheme="majorHAnsi" w:hAnsiTheme="majorHAnsi" w:cs="Arial"/>
          <w:sz w:val="22"/>
          <w:szCs w:val="22"/>
        </w:rPr>
        <w:t xml:space="preserve">A verbal warning – ‘this is a choice that you have made’ </w:t>
      </w:r>
    </w:p>
    <w:p w:rsidR="006D6DB5" w:rsidRPr="00DF3922" w:rsidRDefault="006D6DB5" w:rsidP="006D6DB5">
      <w:pPr>
        <w:numPr>
          <w:ilvl w:val="0"/>
          <w:numId w:val="1"/>
        </w:numPr>
        <w:rPr>
          <w:rFonts w:asciiTheme="majorHAnsi" w:hAnsiTheme="majorHAnsi" w:cs="Arial"/>
          <w:sz w:val="22"/>
          <w:szCs w:val="22"/>
        </w:rPr>
      </w:pPr>
      <w:r w:rsidRPr="00DF3922">
        <w:rPr>
          <w:rFonts w:asciiTheme="majorHAnsi" w:hAnsiTheme="majorHAnsi" w:cs="Arial"/>
          <w:sz w:val="22"/>
          <w:szCs w:val="22"/>
        </w:rPr>
        <w:t xml:space="preserve">Move the person within the room </w:t>
      </w:r>
    </w:p>
    <w:p w:rsidR="006D6DB5" w:rsidRPr="00DF3922" w:rsidRDefault="006D6DB5" w:rsidP="006D6DB5">
      <w:pPr>
        <w:numPr>
          <w:ilvl w:val="0"/>
          <w:numId w:val="1"/>
        </w:numPr>
        <w:rPr>
          <w:rFonts w:asciiTheme="majorHAnsi" w:hAnsiTheme="majorHAnsi" w:cs="Arial"/>
          <w:sz w:val="22"/>
          <w:szCs w:val="22"/>
        </w:rPr>
      </w:pPr>
      <w:r w:rsidRPr="00DF3922">
        <w:rPr>
          <w:rFonts w:asciiTheme="majorHAnsi" w:hAnsiTheme="majorHAnsi" w:cs="Arial"/>
          <w:sz w:val="22"/>
          <w:szCs w:val="22"/>
        </w:rPr>
        <w:t>Move the person to a link class for ten minutes</w:t>
      </w:r>
    </w:p>
    <w:p w:rsidR="006D6DB5" w:rsidRPr="00DF3922" w:rsidRDefault="006D6DB5" w:rsidP="006D6DB5">
      <w:pPr>
        <w:rPr>
          <w:rFonts w:asciiTheme="majorHAnsi" w:hAnsiTheme="majorHAnsi" w:cs="Arial"/>
          <w:sz w:val="22"/>
          <w:szCs w:val="22"/>
        </w:rPr>
      </w:pPr>
      <w:r w:rsidRPr="00DF3922">
        <w:rPr>
          <w:rFonts w:asciiTheme="majorHAnsi" w:hAnsiTheme="majorHAnsi" w:cs="Arial"/>
          <w:sz w:val="22"/>
          <w:szCs w:val="22"/>
        </w:rPr>
        <w:t>When choices that a child has made require steps 1 to 3 being used, a conversation must be had with the child to talk through their learning behaviours and any further consequences negotiated.</w:t>
      </w:r>
    </w:p>
    <w:p w:rsidR="006D6DB5" w:rsidRPr="00DF3922" w:rsidRDefault="006D6DB5" w:rsidP="006D6DB5">
      <w:pPr>
        <w:rPr>
          <w:rFonts w:asciiTheme="majorHAnsi" w:hAnsiTheme="majorHAnsi" w:cs="Arial"/>
          <w:sz w:val="22"/>
          <w:szCs w:val="22"/>
        </w:rPr>
      </w:pPr>
    </w:p>
    <w:p w:rsidR="006D6DB5" w:rsidRPr="00DF3922" w:rsidRDefault="006D6DB5" w:rsidP="006D6DB5">
      <w:pPr>
        <w:rPr>
          <w:rFonts w:asciiTheme="majorHAnsi" w:hAnsiTheme="majorHAnsi" w:cs="Arial"/>
          <w:b/>
          <w:sz w:val="22"/>
          <w:szCs w:val="22"/>
        </w:rPr>
      </w:pPr>
      <w:r w:rsidRPr="00DF3922">
        <w:rPr>
          <w:rFonts w:asciiTheme="majorHAnsi" w:hAnsiTheme="majorHAnsi" w:cs="Arial"/>
          <w:b/>
          <w:sz w:val="22"/>
          <w:szCs w:val="22"/>
        </w:rPr>
        <w:t>Further consequences include:</w:t>
      </w:r>
    </w:p>
    <w:p w:rsidR="006D6DB5" w:rsidRPr="00DF3922" w:rsidRDefault="006D6DB5" w:rsidP="006D6DB5">
      <w:pPr>
        <w:numPr>
          <w:ilvl w:val="0"/>
          <w:numId w:val="1"/>
        </w:numPr>
        <w:rPr>
          <w:rFonts w:asciiTheme="majorHAnsi" w:hAnsiTheme="majorHAnsi" w:cs="Arial"/>
          <w:sz w:val="22"/>
          <w:szCs w:val="22"/>
        </w:rPr>
      </w:pPr>
      <w:r w:rsidRPr="00DF3922">
        <w:rPr>
          <w:rFonts w:asciiTheme="majorHAnsi" w:hAnsiTheme="majorHAnsi" w:cs="Arial"/>
          <w:sz w:val="22"/>
          <w:szCs w:val="22"/>
        </w:rPr>
        <w:t xml:space="preserve">Loss of playtimes </w:t>
      </w:r>
    </w:p>
    <w:p w:rsidR="006D6DB5" w:rsidRPr="00DF3922" w:rsidRDefault="006D6DB5" w:rsidP="006D6DB5">
      <w:pPr>
        <w:numPr>
          <w:ilvl w:val="0"/>
          <w:numId w:val="1"/>
        </w:numPr>
        <w:rPr>
          <w:rFonts w:asciiTheme="majorHAnsi" w:hAnsiTheme="majorHAnsi" w:cs="Arial"/>
          <w:sz w:val="22"/>
          <w:szCs w:val="22"/>
        </w:rPr>
      </w:pPr>
      <w:r w:rsidRPr="00DF3922">
        <w:rPr>
          <w:rFonts w:asciiTheme="majorHAnsi" w:hAnsiTheme="majorHAnsi" w:cs="Arial"/>
          <w:sz w:val="22"/>
          <w:szCs w:val="22"/>
        </w:rPr>
        <w:t xml:space="preserve">Sent to the Head or person Acting Up </w:t>
      </w:r>
    </w:p>
    <w:p w:rsidR="006D6DB5" w:rsidRPr="00DF3922" w:rsidRDefault="006D6DB5" w:rsidP="006D6DB5">
      <w:pPr>
        <w:numPr>
          <w:ilvl w:val="0"/>
          <w:numId w:val="1"/>
        </w:numPr>
        <w:rPr>
          <w:rFonts w:asciiTheme="majorHAnsi" w:hAnsiTheme="majorHAnsi" w:cs="Arial"/>
          <w:sz w:val="22"/>
          <w:szCs w:val="22"/>
        </w:rPr>
      </w:pPr>
      <w:r w:rsidRPr="00DF3922">
        <w:rPr>
          <w:rFonts w:asciiTheme="majorHAnsi" w:hAnsiTheme="majorHAnsi" w:cs="Arial"/>
          <w:sz w:val="22"/>
          <w:szCs w:val="22"/>
        </w:rPr>
        <w:lastRenderedPageBreak/>
        <w:t xml:space="preserve">Discussion with Parents </w:t>
      </w:r>
    </w:p>
    <w:p w:rsidR="006D6DB5" w:rsidRPr="00DF3922" w:rsidRDefault="006D6DB5" w:rsidP="006D6DB5">
      <w:pPr>
        <w:numPr>
          <w:ilvl w:val="0"/>
          <w:numId w:val="1"/>
        </w:numPr>
        <w:rPr>
          <w:rFonts w:asciiTheme="majorHAnsi" w:hAnsiTheme="majorHAnsi" w:cs="Arial"/>
          <w:sz w:val="22"/>
          <w:szCs w:val="22"/>
        </w:rPr>
      </w:pPr>
      <w:r w:rsidRPr="00DF3922">
        <w:rPr>
          <w:rFonts w:asciiTheme="majorHAnsi" w:hAnsiTheme="majorHAnsi" w:cs="Arial"/>
          <w:sz w:val="22"/>
          <w:szCs w:val="22"/>
        </w:rPr>
        <w:t>Exclusion – Temporary or Permanent</w:t>
      </w:r>
    </w:p>
    <w:p w:rsidR="006D6DB5" w:rsidRPr="00DF3922" w:rsidRDefault="006D6DB5" w:rsidP="006D6DB5">
      <w:pPr>
        <w:rPr>
          <w:rFonts w:asciiTheme="majorHAnsi" w:hAnsiTheme="majorHAnsi" w:cs="Arial"/>
          <w:b/>
          <w:sz w:val="22"/>
          <w:szCs w:val="22"/>
        </w:rPr>
      </w:pPr>
    </w:p>
    <w:p w:rsidR="006D6DB5" w:rsidRPr="00DF3922" w:rsidRDefault="006D6DB5" w:rsidP="006D6DB5">
      <w:pPr>
        <w:rPr>
          <w:rFonts w:asciiTheme="majorHAnsi" w:hAnsiTheme="majorHAnsi" w:cs="Arial"/>
          <w:b/>
          <w:sz w:val="22"/>
          <w:szCs w:val="22"/>
        </w:rPr>
      </w:pPr>
      <w:r w:rsidRPr="00DF3922">
        <w:rPr>
          <w:rFonts w:asciiTheme="majorHAnsi" w:hAnsiTheme="majorHAnsi" w:cs="Arial"/>
          <w:b/>
          <w:sz w:val="22"/>
          <w:szCs w:val="22"/>
        </w:rPr>
        <w:t>Behaviour Support Plan</w:t>
      </w:r>
    </w:p>
    <w:p w:rsidR="006D6DB5" w:rsidRPr="00DF3922" w:rsidRDefault="006D6DB5" w:rsidP="006D6DB5">
      <w:pPr>
        <w:rPr>
          <w:rFonts w:asciiTheme="majorHAnsi" w:hAnsiTheme="majorHAnsi" w:cs="Arial"/>
          <w:sz w:val="22"/>
          <w:szCs w:val="22"/>
        </w:rPr>
      </w:pPr>
      <w:r w:rsidRPr="00DF3922">
        <w:rPr>
          <w:rFonts w:asciiTheme="majorHAnsi" w:hAnsiTheme="majorHAnsi" w:cs="Arial"/>
          <w:sz w:val="22"/>
          <w:szCs w:val="22"/>
        </w:rPr>
        <w:t>Where a child’s behaviour is such that thi</w:t>
      </w:r>
      <w:r>
        <w:rPr>
          <w:rFonts w:asciiTheme="majorHAnsi" w:hAnsiTheme="majorHAnsi" w:cs="Arial"/>
          <w:sz w:val="22"/>
          <w:szCs w:val="22"/>
        </w:rPr>
        <w:t>s Behaviour Policy does not meet</w:t>
      </w:r>
      <w:r w:rsidRPr="00DF3922">
        <w:rPr>
          <w:rFonts w:asciiTheme="majorHAnsi" w:hAnsiTheme="majorHAnsi" w:cs="Arial"/>
          <w:sz w:val="22"/>
          <w:szCs w:val="22"/>
        </w:rPr>
        <w:t xml:space="preserve"> their needs, an Individual Behaviour Support Plan (BSP) will be written with children and parents. </w:t>
      </w:r>
    </w:p>
    <w:p w:rsidR="006D6DB5" w:rsidRPr="00DF3922" w:rsidRDefault="006D6DB5" w:rsidP="006D6DB5">
      <w:pPr>
        <w:rPr>
          <w:rFonts w:asciiTheme="majorHAnsi" w:hAnsiTheme="majorHAnsi" w:cs="Arial"/>
          <w:sz w:val="22"/>
          <w:szCs w:val="22"/>
        </w:rPr>
      </w:pPr>
    </w:p>
    <w:p w:rsidR="00137077" w:rsidRDefault="006D6DB5"/>
    <w:sectPr w:rsidR="001370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51C"/>
    <w:multiLevelType w:val="hybridMultilevel"/>
    <w:tmpl w:val="9FB8E2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B5"/>
    <w:rsid w:val="005A3C8A"/>
    <w:rsid w:val="006D6DB5"/>
    <w:rsid w:val="00823F0D"/>
    <w:rsid w:val="00B8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B972"/>
  <w15:chartTrackingRefBased/>
  <w15:docId w15:val="{119CAFBA-9EB9-4065-9874-6D64A34C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DB5"/>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Kingsbridge Community College</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WHITLEY</dc:creator>
  <cp:keywords/>
  <dc:description/>
  <cp:lastModifiedBy>Lesley WHITLEY</cp:lastModifiedBy>
  <cp:revision>1</cp:revision>
  <dcterms:created xsi:type="dcterms:W3CDTF">2016-12-18T17:16:00Z</dcterms:created>
  <dcterms:modified xsi:type="dcterms:W3CDTF">2016-12-18T17:18:00Z</dcterms:modified>
</cp:coreProperties>
</file>